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media/image1.wmf" ContentType="image/x-wmf"/>
  <Override PartName="/word/theme/theme1.xml" ContentType="application/vnd.openxmlformats-officedocument.them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64"/>
        <w:ind w:left="4394" w:firstLine="709"/>
        <w:jc w:val="right"/>
        <w:rPr>
          <w:sz w:val="24"/>
          <w:szCs w:val="24"/>
        </w:rPr>
      </w:pPr>
      <w:bookmarkStart w:id="0" w:name="Приложение4"/>
      <w:r>
        <w:rPr>
          <w:sz w:val="24"/>
          <w:szCs w:val="24"/>
        </w:rPr>
        <w:t xml:space="preserve">Приложение № </w:t>
      </w:r>
      <w:bookmarkEnd w:id="0"/>
      <w:r>
        <w:rPr>
          <w:sz w:val="24"/>
          <w:szCs w:val="24"/>
        </w:rPr>
        <w:t xml:space="preserve">4 </w:t>
      </w:r>
    </w:p>
    <w:p>
      <w:pPr>
        <w:pStyle w:val="Normal"/>
        <w:spacing w:lineRule="auto" w:line="264"/>
        <w:ind w:left="4394"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техническим требованиям на оказание услуг</w:t>
      </w:r>
    </w:p>
    <w:p>
      <w:pPr>
        <w:pStyle w:val="ConsPlusNormal1"/>
        <w:widowControl/>
        <w:tabs>
          <w:tab w:val="clear" w:pos="708"/>
          <w:tab w:val="left" w:pos="1260" w:leader="none"/>
        </w:tabs>
        <w:spacing w:lineRule="auto" w:line="264"/>
        <w:ind w:left="1260" w:hanging="1080"/>
        <w:jc w:val="right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ОКПД2 33.14.19 «Услуги обслуживания объектов электросетевого хозяйства на территории Тындинского муниципального округа, Зейского муниципального округа, посёлка Иса Селемджинского района Амурской области</w:t>
      </w:r>
    </w:p>
    <w:p>
      <w:pPr>
        <w:pStyle w:val="ConsPlusNormal1"/>
        <w:widowControl/>
        <w:tabs>
          <w:tab w:val="clear" w:pos="708"/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jc w:val="center"/>
        <w:rPr>
          <w:b/>
          <w:spacing w:val="-2"/>
          <w:sz w:val="24"/>
          <w:szCs w:val="24"/>
        </w:rPr>
      </w:pPr>
      <w:r>
        <w:rPr>
          <w:b/>
          <w:spacing w:val="-2"/>
          <w:sz w:val="24"/>
          <w:szCs w:val="24"/>
        </w:rPr>
        <w:t xml:space="preserve">Требования </w:t>
      </w:r>
      <w:bookmarkStart w:id="1" w:name="_Hlk125535133"/>
      <w:r>
        <w:rPr>
          <w:b/>
          <w:spacing w:val="-2"/>
          <w:sz w:val="24"/>
          <w:szCs w:val="24"/>
        </w:rPr>
        <w:t xml:space="preserve">к оформлению и составлению расчётов на выполнение работ/услуг </w:t>
      </w:r>
    </w:p>
    <w:p>
      <w:pPr>
        <w:pStyle w:val="Normal"/>
        <w:jc w:val="center"/>
        <w:rPr>
          <w:spacing w:val="-2"/>
          <w:sz w:val="24"/>
          <w:szCs w:val="24"/>
        </w:rPr>
      </w:pPr>
      <w:r>
        <w:rPr>
          <w:b/>
          <w:spacing w:val="-2"/>
          <w:sz w:val="24"/>
          <w:szCs w:val="24"/>
        </w:rPr>
        <w:t>по программе технического обслуживания энергооборудования, сетей, зданий и сооружений</w:t>
      </w:r>
      <w:bookmarkEnd w:id="1"/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76" w:before="0" w:after="60"/>
        <w:jc w:val="center"/>
        <w:rPr>
          <w:b/>
          <w:i/>
          <w:i/>
          <w:iCs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 xml:space="preserve">Общая часть </w:t>
      </w:r>
    </w:p>
    <w:p>
      <w:pPr>
        <w:pStyle w:val="Normal"/>
        <w:tabs>
          <w:tab w:val="clear" w:pos="708"/>
          <w:tab w:val="left" w:pos="993" w:leader="none"/>
        </w:tabs>
        <w:spacing w:lineRule="auto" w:line="276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Настоящие требования разработаны для единого подхода к оформлению и составлению расчётов на оказание услуг по программе технического обслуживания энергооборудования, сетей, зданий и сооружений (далее – ТО). </w:t>
      </w:r>
    </w:p>
    <w:p>
      <w:pPr>
        <w:pStyle w:val="Normal"/>
        <w:tabs>
          <w:tab w:val="clear" w:pos="708"/>
          <w:tab w:val="left" w:pos="993" w:leader="none"/>
        </w:tabs>
        <w:spacing w:lineRule="auto" w:line="276"/>
        <w:ind w:firstLine="709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Расчёт стоимости выполнения работ/услуг по ТО составляется на основании технических требований (далее – ТТ) филиалов и ПО ПАО «РусГидро», а также исходных данных, необходимых для определения стоимости ТО: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993" w:leader="none"/>
        </w:tabs>
        <w:spacing w:lineRule="auto" w:line="276" w:before="0" w:after="0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производственный актив;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993" w:leader="none"/>
        </w:tabs>
        <w:spacing w:lineRule="auto" w:line="276" w:before="0" w:after="0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наименование/состав типовой работы;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993" w:leader="none"/>
        </w:tabs>
        <w:spacing w:lineRule="auto" w:line="276" w:before="0" w:after="0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количество воздействий на единицу оборудования;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993" w:leader="none"/>
        </w:tabs>
        <w:spacing w:lineRule="auto" w:line="276" w:before="0" w:after="0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количество единиц оборудования;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993" w:leader="none"/>
        </w:tabs>
        <w:spacing w:lineRule="auto" w:line="276" w:before="0" w:after="0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периодичность выполнения работ;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993" w:leader="none"/>
        </w:tabs>
        <w:spacing w:lineRule="auto" w:line="276" w:before="0" w:after="0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номенклатура материально-технических ресурсов;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993" w:leader="none"/>
        </w:tabs>
        <w:spacing w:lineRule="auto" w:line="276" w:before="0" w:after="0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номенклатура механизмов.</w:t>
      </w:r>
    </w:p>
    <w:p>
      <w:pPr>
        <w:pStyle w:val="ListParagraph"/>
        <w:tabs>
          <w:tab w:val="clear" w:pos="708"/>
          <w:tab w:val="left" w:pos="993" w:leader="none"/>
        </w:tabs>
        <w:spacing w:before="0" w:after="0"/>
        <w:ind w:left="567" w:hanging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76" w:before="0" w:after="60"/>
        <w:jc w:val="center"/>
        <w:rPr>
          <w:b/>
          <w:i/>
          <w:i/>
          <w:iCs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>Метод расчёта и индексация стоимости</w:t>
      </w:r>
    </w:p>
    <w:p>
      <w:pPr>
        <w:pStyle w:val="Normal"/>
        <w:spacing w:lineRule="auto" w:line="276" w:before="0" w:after="120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Определение сметной стоимости работ при техническом обслуживании необходимо осуществлять </w:t>
      </w:r>
      <w:r>
        <w:rPr>
          <w:b/>
          <w:bCs/>
          <w:sz w:val="24"/>
          <w:szCs w:val="24"/>
        </w:rPr>
        <w:t>базисно-индексным методом</w:t>
      </w:r>
      <w:r>
        <w:rPr>
          <w:sz w:val="24"/>
          <w:szCs w:val="24"/>
        </w:rPr>
        <w:t xml:space="preserve"> −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расчётах (далее – ЛСР), локальных сметах (далее − ЛС) </w:t>
      </w:r>
      <w:r>
        <w:rPr>
          <w:b/>
          <w:bCs/>
          <w:sz w:val="24"/>
          <w:szCs w:val="24"/>
        </w:rPr>
        <w:t>в двух уровнях цен: базисном и текущем</w:t>
      </w:r>
      <w:r>
        <w:rPr>
          <w:sz w:val="24"/>
          <w:szCs w:val="24"/>
        </w:rPr>
        <w:t xml:space="preserve">. </w:t>
      </w:r>
    </w:p>
    <w:p>
      <w:pPr>
        <w:pStyle w:val="Normal"/>
        <w:spacing w:lineRule="auto" w:line="276" w:before="0" w:after="120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ab/>
        <w:t xml:space="preserve">При определении сметной стоимости </w:t>
      </w:r>
      <w:r>
        <w:rPr>
          <w:b/>
          <w:spacing w:val="-2"/>
          <w:sz w:val="24"/>
          <w:szCs w:val="24"/>
        </w:rPr>
        <w:t xml:space="preserve">базисно-индексным </w:t>
      </w:r>
      <w:r>
        <w:rPr>
          <w:spacing w:val="-2"/>
          <w:sz w:val="24"/>
          <w:szCs w:val="24"/>
        </w:rPr>
        <w:t>методом применяются индексы изменения сметной стоимости согласно письма Минстроя РФ от 01.02.2025 № 5170-ИФ/09 (1 кв. 2025 года) по объекту строительства «Прочие объекты» ОЗП и ЗПМ=71,22; ЭМ=21,33; МАТ=13,18.</w:t>
      </w:r>
    </w:p>
    <w:p>
      <w:pPr>
        <w:pStyle w:val="Normal"/>
        <w:spacing w:lineRule="auto" w:line="276"/>
        <w:ind w:firstLine="709"/>
        <w:jc w:val="both"/>
        <w:rPr>
          <w:color w:val="C9211E"/>
        </w:rPr>
      </w:pPr>
      <w:r>
        <w:rPr>
          <w:color w:val="C9211E"/>
        </w:rPr>
      </w:r>
    </w:p>
    <w:p>
      <w:pPr>
        <w:pStyle w:val="Normal"/>
        <w:spacing w:lineRule="auto" w:line="276" w:before="0" w:after="60"/>
        <w:jc w:val="center"/>
        <w:rPr>
          <w:b/>
          <w:i/>
          <w:i/>
          <w:iCs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>Оплата труда, накладные расходы и сметная прибыль</w:t>
      </w:r>
    </w:p>
    <w:p>
      <w:pPr>
        <w:pStyle w:val="Normal"/>
        <w:tabs>
          <w:tab w:val="clear" w:pos="708"/>
          <w:tab w:val="left" w:pos="627" w:leader="none"/>
          <w:tab w:val="left" w:pos="851" w:leader="none"/>
        </w:tabs>
        <w:spacing w:lineRule="auto" w:line="276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Затраты на оплату труда определяются на основании трудоемкости, среднего разряда работы/услуги, стоимости человека-часа.</w:t>
      </w:r>
    </w:p>
    <w:p>
      <w:pPr>
        <w:pStyle w:val="Normal"/>
        <w:tabs>
          <w:tab w:val="clear" w:pos="708"/>
          <w:tab w:val="left" w:pos="627" w:leader="none"/>
          <w:tab w:val="left" w:pos="900" w:leader="none"/>
          <w:tab w:val="left" w:pos="1418" w:leader="none"/>
        </w:tabs>
        <w:spacing w:lineRule="auto" w:line="276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Трудоёмкость определяется на основании расценок сборников, справочников: ЕНиР, ГЭСН, ведомственные сборники (ВНиР, ВУЕР, БЦ и т.д.), иные сборники, содержащие данные о трудоемкости выполняемых работ и т.д. В случае отсутствия расценок, допустимо трудозатраты принимать по фактическим данным, при обязательном согласовании их со специалистами технической службы филиала (ПО, станции).</w:t>
      </w:r>
    </w:p>
    <w:p>
      <w:pPr>
        <w:pStyle w:val="Normal"/>
        <w:tabs>
          <w:tab w:val="clear" w:pos="708"/>
          <w:tab w:val="left" w:pos="627" w:leader="none"/>
          <w:tab w:val="left" w:pos="900" w:leader="none"/>
        </w:tabs>
        <w:spacing w:lineRule="auto" w:line="276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При выборе расценки следует руководствоваться следующими критериями: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993" w:leader="none"/>
        </w:tabs>
        <w:spacing w:lineRule="auto" w:line="276" w:before="0" w:after="0"/>
        <w:ind w:left="0" w:firstLine="709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наименование;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993" w:leader="none"/>
        </w:tabs>
        <w:spacing w:lineRule="auto" w:line="276" w:before="0" w:after="0"/>
        <w:ind w:left="0" w:firstLine="709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перечень работ в расценке должен соответствовать фактически выполняемой работе;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993" w:leader="none"/>
        </w:tabs>
        <w:spacing w:lineRule="auto" w:line="276" w:before="0" w:after="0"/>
        <w:ind w:left="0" w:firstLine="709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трудоемкость, соответствующая фактически выполняемой работе.</w:t>
      </w:r>
    </w:p>
    <w:p>
      <w:pPr>
        <w:pStyle w:val="Normal"/>
        <w:tabs>
          <w:tab w:val="clear" w:pos="708"/>
          <w:tab w:val="left" w:pos="627" w:leader="none"/>
          <w:tab w:val="left" w:pos="900" w:leader="none"/>
        </w:tabs>
        <w:spacing w:lineRule="auto" w:line="276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Средний разряд работы/услуги, рассчитанный как средневзвешенный с учетом удельного веса трудозатрат с соответствующим разрядом, указывается на основании принятых расценок.</w:t>
      </w:r>
    </w:p>
    <w:p>
      <w:pPr>
        <w:pStyle w:val="Normal"/>
        <w:tabs>
          <w:tab w:val="clear" w:pos="708"/>
          <w:tab w:val="left" w:pos="627" w:leader="none"/>
        </w:tabs>
        <w:spacing w:lineRule="auto" w:line="276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При расчёте базисно-индексным методом стоимость человеко-часа, соответствующая принятому разряду, определяется по сборнику Тарифных ставок ТС 2001, внесённому в ФРСН, по разделу «Часовая оплата труда рабочих-строителей» и учитывает все расходы, учтенные по статье: «Расходы на оплату труда рабочих».</w:t>
      </w:r>
    </w:p>
    <w:p>
      <w:pPr>
        <w:pStyle w:val="Normal"/>
        <w:tabs>
          <w:tab w:val="clear" w:pos="708"/>
          <w:tab w:val="left" w:pos="627" w:leader="none"/>
        </w:tabs>
        <w:spacing w:lineRule="auto" w:line="276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Принимается по состоянию на 01.01.2000: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993" w:leader="none"/>
        </w:tabs>
        <w:spacing w:lineRule="auto" w:line="276" w:before="0" w:after="0"/>
        <w:ind w:left="0" w:firstLine="709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 разряд – 7,19 руб.;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993" w:leader="none"/>
        </w:tabs>
        <w:spacing w:lineRule="auto" w:line="276" w:before="0" w:after="0"/>
        <w:ind w:left="0" w:firstLine="709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 разряд – 7,80 руб.;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993" w:leader="none"/>
        </w:tabs>
        <w:spacing w:lineRule="auto" w:line="276" w:before="0" w:after="0"/>
        <w:ind w:left="0" w:firstLine="709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 разряд – 8,53 руб.;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993" w:leader="none"/>
        </w:tabs>
        <w:spacing w:lineRule="auto" w:line="276" w:before="0" w:after="0"/>
        <w:ind w:left="0" w:firstLine="709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 разряд – 9,62 руб.;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993" w:leader="none"/>
        </w:tabs>
        <w:spacing w:lineRule="auto" w:line="276" w:before="0" w:after="0"/>
        <w:ind w:left="0" w:firstLine="709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5 разряд – 11,09 руб.;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993" w:leader="none"/>
        </w:tabs>
        <w:spacing w:lineRule="auto" w:line="276" w:before="0" w:after="0"/>
        <w:ind w:left="0" w:firstLine="709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6 разряд – 12,92 руб;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993" w:leader="none"/>
        </w:tabs>
        <w:spacing w:lineRule="auto" w:line="276" w:before="0" w:after="0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мастер </w:t>
      </w:r>
      <w:r>
        <w:rPr>
          <w:color w:val="000000"/>
          <w:sz w:val="24"/>
          <w:szCs w:val="24"/>
        </w:rPr>
        <w:t>–</w:t>
      </w:r>
      <w:r>
        <w:rPr>
          <w:sz w:val="24"/>
          <w:szCs w:val="24"/>
        </w:rPr>
        <w:t xml:space="preserve"> 16,93 руб;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993" w:leader="none"/>
        </w:tabs>
        <w:spacing w:lineRule="auto" w:line="276" w:before="0" w:after="0"/>
        <w:ind w:left="0" w:firstLine="709"/>
        <w:contextualSpacing/>
        <w:jc w:val="both"/>
        <w:rPr>
          <w:color w:val="000000"/>
        </w:rPr>
      </w:pPr>
      <w:r>
        <w:rPr>
          <w:color w:val="000000"/>
          <w:sz w:val="24"/>
          <w:szCs w:val="24"/>
        </w:rPr>
        <w:t>машинист АГП 4 разряда – 6,4 руб;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993" w:leader="none"/>
        </w:tabs>
        <w:spacing w:lineRule="auto" w:line="276" w:before="0" w:after="0"/>
        <w:ind w:left="0" w:firstLine="709"/>
        <w:contextualSpacing/>
        <w:jc w:val="both"/>
        <w:rPr>
          <w:color w:val="000000"/>
        </w:rPr>
      </w:pPr>
      <w:r>
        <w:rPr>
          <w:color w:val="000000"/>
          <w:sz w:val="24"/>
          <w:szCs w:val="24"/>
        </w:rPr>
        <w:t xml:space="preserve">инженер 2 категории </w:t>
      </w:r>
      <w:r>
        <w:rPr>
          <w:rFonts w:eastAsia="Liberation Serif" w:cs="Liberation Serif" w:ascii="Liberation Serif" w:hAnsi="Liberation Serif"/>
          <w:color w:val="000000"/>
          <w:sz w:val="24"/>
          <w:szCs w:val="24"/>
        </w:rPr>
        <w:t>‒</w:t>
      </w:r>
      <w:r>
        <w:rPr>
          <w:color w:val="000000"/>
          <w:sz w:val="24"/>
          <w:szCs w:val="24"/>
        </w:rPr>
        <w:t xml:space="preserve"> 14,09 руб.</w:t>
      </w:r>
    </w:p>
    <w:p>
      <w:pPr>
        <w:pStyle w:val="Normal"/>
        <w:tabs>
          <w:tab w:val="clear" w:pos="708"/>
          <w:tab w:val="left" w:pos="627" w:leader="none"/>
          <w:tab w:val="left" w:pos="900" w:leader="none"/>
        </w:tabs>
        <w:spacing w:lineRule="auto" w:line="276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Накладные расходы на работы по ТО принять по индивидуальным нормам в размере, не превышающим норму «Прочие ремонтно-строительные работы» − 92 % (в соответствии с Методикой по разработке и применению накладных расходов при определении сметной стоимости строительства, реконструкции, капитального ремонта, сноса объектов капитального строительства, введённой приказом Минстроя РФ от 21.12.2020 № 812/пр).</w:t>
      </w:r>
    </w:p>
    <w:p>
      <w:pPr>
        <w:pStyle w:val="Normal"/>
        <w:tabs>
          <w:tab w:val="clear" w:pos="708"/>
          <w:tab w:val="left" w:pos="627" w:leader="none"/>
          <w:tab w:val="left" w:pos="900" w:leader="none"/>
        </w:tabs>
        <w:spacing w:lineRule="auto" w:line="276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Сметную прибыль на работы по ТО принять по индивидуальной норме, не превышающей норму «Прочие ремонтно-строительные работы» − 44% (в соответствии с «Методикой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строительства», введенной приказом Минстроя РФ от 11.12.2020 № 774/пр.).</w:t>
      </w:r>
    </w:p>
    <w:p>
      <w:pPr>
        <w:pStyle w:val="Normal"/>
        <w:tabs>
          <w:tab w:val="clear" w:pos="708"/>
          <w:tab w:val="left" w:pos="627" w:leader="none"/>
          <w:tab w:val="left" w:pos="900" w:leader="none"/>
        </w:tabs>
        <w:spacing w:lineRule="auto" w:line="276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 качестве базы для исчисления накладных расходов и сметной прибыли принимается величина средств на оплату труда</w:t>
      </w:r>
      <w:r>
        <w:rPr>
          <w:b/>
          <w:color w:val="000000"/>
          <w:sz w:val="24"/>
          <w:szCs w:val="24"/>
        </w:rPr>
        <w:t>.</w:t>
      </w:r>
    </w:p>
    <w:p>
      <w:pPr>
        <w:pStyle w:val="Normal"/>
        <w:jc w:val="center"/>
        <w:rPr>
          <w:b/>
          <w:color w:val="000000"/>
        </w:rPr>
      </w:pPr>
      <w:r>
        <w:rPr>
          <w:b/>
          <w:color w:val="000000"/>
        </w:rPr>
      </w:r>
    </w:p>
    <w:p>
      <w:pPr>
        <w:pStyle w:val="Normal"/>
        <w:spacing w:lineRule="auto" w:line="276" w:before="0" w:after="60"/>
        <w:jc w:val="center"/>
        <w:rPr>
          <w:i/>
          <w:i/>
          <w:iCs/>
        </w:rPr>
      </w:pPr>
      <w:r>
        <w:rPr>
          <w:b/>
          <w:i/>
          <w:iCs/>
          <w:color w:val="000000"/>
          <w:sz w:val="24"/>
          <w:szCs w:val="24"/>
        </w:rPr>
        <w:t>Стоимость материалов и оборудования</w:t>
      </w:r>
    </w:p>
    <w:p>
      <w:pPr>
        <w:pStyle w:val="Normal"/>
        <w:tabs>
          <w:tab w:val="clear" w:pos="708"/>
          <w:tab w:val="left" w:pos="627" w:leader="none"/>
        </w:tabs>
        <w:spacing w:lineRule="auto" w:line="276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Норму расхода материально-технических ресурсов (далее–МТР) определять на основании принятых расценок в соответствии с номенклатурой, указанной в исходных данных.</w:t>
      </w:r>
    </w:p>
    <w:p>
      <w:pPr>
        <w:pStyle w:val="Normal"/>
        <w:tabs>
          <w:tab w:val="clear" w:pos="708"/>
          <w:tab w:val="left" w:pos="627" w:leader="none"/>
        </w:tabs>
        <w:spacing w:lineRule="auto" w:line="276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Стоимость МТР определять: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993" w:leader="none"/>
        </w:tabs>
        <w:spacing w:lineRule="auto" w:line="276" w:before="0" w:after="0"/>
        <w:ind w:left="0" w:firstLine="709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при базисно-индексном методе по ССЦ, входящим в Федеральный реестр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(далее – ФРСН);</w:t>
      </w:r>
    </w:p>
    <w:p>
      <w:pPr>
        <w:pStyle w:val="Normal"/>
        <w:tabs>
          <w:tab w:val="clear" w:pos="708"/>
          <w:tab w:val="left" w:pos="627" w:leader="none"/>
        </w:tabs>
        <w:spacing w:lineRule="auto" w:line="276"/>
        <w:ind w:firstLine="567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z w:val="24"/>
          <w:szCs w:val="24"/>
        </w:rPr>
        <w:t xml:space="preserve">При отсутствии материалов в ССЦ и ФГИС ЦС допускается определять стоимость </w:t>
      </w:r>
      <w:r>
        <w:rPr>
          <w:color w:val="000000"/>
          <w:spacing w:val="-2"/>
          <w:sz w:val="24"/>
          <w:szCs w:val="24"/>
        </w:rPr>
        <w:t>Методом анализа ТКП в соответствии Приложением № 1 к Требованиям.</w:t>
      </w:r>
    </w:p>
    <w:p>
      <w:pPr>
        <w:pStyle w:val="Normal"/>
        <w:tabs>
          <w:tab w:val="clear" w:pos="708"/>
          <w:tab w:val="left" w:pos="627" w:leader="none"/>
        </w:tabs>
        <w:spacing w:lineRule="auto" w:line="276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76" w:before="0" w:after="60"/>
        <w:jc w:val="center"/>
        <w:rPr>
          <w:b/>
          <w:i/>
          <w:i/>
          <w:iCs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>Стоимость эксплуатации механизмов</w:t>
      </w:r>
    </w:p>
    <w:p>
      <w:pPr>
        <w:pStyle w:val="Normal"/>
        <w:tabs>
          <w:tab w:val="clear" w:pos="708"/>
          <w:tab w:val="left" w:pos="627" w:leader="none"/>
        </w:tabs>
        <w:spacing w:lineRule="auto" w:line="276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Норму работы механизмов (маш.-час) определять на основании принятых расценок, в соответствии с номенклатурой механизмов, указанной в исходных данных.</w:t>
      </w:r>
    </w:p>
    <w:p>
      <w:pPr>
        <w:pStyle w:val="Normal"/>
        <w:tabs>
          <w:tab w:val="clear" w:pos="708"/>
          <w:tab w:val="left" w:pos="627" w:leader="none"/>
        </w:tabs>
        <w:spacing w:lineRule="auto" w:line="276"/>
        <w:ind w:firstLine="567"/>
        <w:jc w:val="both"/>
        <w:rPr>
          <w:sz w:val="24"/>
          <w:szCs w:val="24"/>
        </w:rPr>
      </w:pPr>
      <w:bookmarkStart w:id="2" w:name="P240"/>
      <w:bookmarkEnd w:id="2"/>
      <w:r>
        <w:rPr>
          <w:color w:val="000000"/>
          <w:sz w:val="24"/>
          <w:szCs w:val="24"/>
        </w:rPr>
        <w:t>Стоимость эксплуатации машин и механизмов определять: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993" w:leader="none"/>
        </w:tabs>
        <w:spacing w:lineRule="auto" w:line="276" w:before="0" w:after="0"/>
        <w:ind w:left="0" w:firstLine="709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по ФСЭМ, входящему в ФРСН. </w:t>
      </w:r>
    </w:p>
    <w:p>
      <w:pPr>
        <w:pStyle w:val="Normal"/>
        <w:tabs>
          <w:tab w:val="clear" w:pos="708"/>
          <w:tab w:val="left" w:pos="627" w:leader="none"/>
        </w:tabs>
        <w:spacing w:lineRule="auto" w:line="276"/>
        <w:ind w:firstLine="567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При отсутствии механизмов во ФСЭМ допускается стоимость эксплуатации определять Методом анализа ТКП в соответствии Приложением № 1 к Требованиям.</w:t>
      </w:r>
    </w:p>
    <w:p>
      <w:pPr>
        <w:pStyle w:val="Normal"/>
        <w:tabs>
          <w:tab w:val="clear" w:pos="708"/>
          <w:tab w:val="left" w:pos="627" w:leader="none"/>
        </w:tabs>
        <w:spacing w:lineRule="auto" w:line="276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76" w:before="0" w:after="60"/>
        <w:jc w:val="center"/>
        <w:rPr>
          <w:b/>
          <w:i/>
          <w:i/>
          <w:iCs/>
          <w:sz w:val="24"/>
          <w:szCs w:val="24"/>
        </w:rPr>
      </w:pPr>
      <w:r>
        <w:rPr>
          <w:b/>
          <w:i/>
          <w:iCs/>
          <w:sz w:val="24"/>
          <w:szCs w:val="24"/>
        </w:rPr>
        <w:t>Командировочные расходы</w:t>
      </w:r>
    </w:p>
    <w:p>
      <w:pPr>
        <w:pStyle w:val="ConsPlusNormal1"/>
        <w:widowControl/>
        <w:tabs>
          <w:tab w:val="clear" w:pos="708"/>
          <w:tab w:val="left" w:pos="993" w:leader="none"/>
        </w:tabs>
        <w:spacing w:lineRule="auto" w:line="276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При необходимости учета командировочных расходов в сметной документации составляется расчёт. Размер суточных командировочных расходов определить в соответствии с </w:t>
      </w:r>
      <w:r>
        <w:rPr>
          <w:rFonts w:cs="Times New Roman" w:ascii="Times New Roman" w:hAnsi="Times New Roman"/>
          <w:sz w:val="24"/>
          <w:szCs w:val="24"/>
        </w:rPr>
        <w:t>законодательством РФ</w:t>
      </w:r>
      <w:r>
        <w:rPr>
          <w:rFonts w:ascii="Times New Roman" w:hAnsi="Times New Roman"/>
          <w:sz w:val="24"/>
          <w:szCs w:val="24"/>
        </w:rPr>
        <w:t xml:space="preserve"> и с учетом норм, определяемых внутренним документом организации.</w:t>
      </w:r>
    </w:p>
    <w:p>
      <w:pPr>
        <w:pStyle w:val="ConsPlusNormal1"/>
        <w:widowControl/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lineRule="auto" w:line="276" w:before="40" w:after="4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производстве ТО лимиты командировочных расходов при командировании на территории, не относящиеся к районам Крайнего Севера и приравненных к ним местностям, принимать в размере не более: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993" w:leader="none"/>
        </w:tabs>
        <w:spacing w:lineRule="auto" w:line="276" w:before="0" w:after="0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суточные – 700 руб./сутки;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993" w:leader="none"/>
        </w:tabs>
        <w:spacing w:lineRule="auto" w:line="276" w:before="0" w:after="0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проживание – 500 руб./сутки;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993" w:leader="none"/>
        </w:tabs>
        <w:spacing w:lineRule="auto" w:line="276" w:before="0" w:after="0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проезд: поезд (купе) или самолет (класс–эконом с багажом до 20 (двадцати) кг, ручная кладь до 10 (десяти) кг).</w:t>
      </w:r>
    </w:p>
    <w:p>
      <w:pPr>
        <w:pStyle w:val="ConsPlusNormal1"/>
        <w:widowControl/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lineRule="auto" w:line="276" w:before="40" w:after="4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производстве ТО лимиты командировочных расходов при командировании на территории, относящейся к местностям, приравненным к районам Крайнего Севера, принимать в размере не более: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993" w:leader="none"/>
        </w:tabs>
        <w:spacing w:lineRule="auto" w:line="276" w:before="0" w:after="0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суточные – 945 руб./сутки;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993" w:leader="none"/>
        </w:tabs>
        <w:spacing w:lineRule="auto" w:line="276" w:before="0" w:after="0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проживание – 750 руб./сутки;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993" w:leader="none"/>
        </w:tabs>
        <w:spacing w:lineRule="auto" w:line="276" w:before="0" w:after="0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проезд: поезд (купе) или самолет (класс–эконом с багажом до 20 (двадцати) кг, ручная кладь до 10 (десяти) кг).</w:t>
      </w:r>
    </w:p>
    <w:p>
      <w:pPr>
        <w:pStyle w:val="ConsPlusNormal1"/>
        <w:widowControl/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lineRule="auto" w:line="276" w:before="40" w:after="4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Данные лимиты могут быть пересмотрены на этапе согласования технических требований.</w:t>
      </w:r>
    </w:p>
    <w:p>
      <w:pPr>
        <w:pStyle w:val="ListParagraph"/>
        <w:tabs>
          <w:tab w:val="clear" w:pos="708"/>
          <w:tab w:val="left" w:pos="993" w:leader="none"/>
        </w:tabs>
        <w:spacing w:lineRule="auto" w:line="276" w:before="0" w:after="0"/>
        <w:ind w:left="0"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учёте командировочных расходов стоимость проезда (авиа-, ж/д, …) и проживания </w:t>
      </w:r>
      <w:r>
        <w:rPr>
          <w:rFonts w:eastAsia="Calibri"/>
          <w:sz w:val="24"/>
          <w:szCs w:val="24"/>
          <w:lang w:eastAsia="en-US"/>
        </w:rPr>
        <w:t xml:space="preserve">определяется </w:t>
      </w:r>
      <w:r>
        <w:rPr>
          <w:sz w:val="24"/>
          <w:szCs w:val="24"/>
        </w:rPr>
        <w:t>Методом анализа ТКП в соответствии с Методикой ПЦ.</w:t>
      </w:r>
    </w:p>
    <w:p>
      <w:pPr>
        <w:pStyle w:val="ListParagraph"/>
        <w:tabs>
          <w:tab w:val="clear" w:pos="708"/>
          <w:tab w:val="left" w:pos="993" w:leader="none"/>
        </w:tabs>
        <w:spacing w:lineRule="auto" w:line="276" w:before="0" w:after="0"/>
        <w:ind w:left="0"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Normal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b/>
          <w:sz w:val="24"/>
          <w:szCs w:val="24"/>
        </w:rPr>
        <w:t>Приложения: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284" w:leader="none"/>
        </w:tabs>
        <w:spacing w:lineRule="auto" w:line="276" w:before="0" w:after="120"/>
        <w:ind w:left="0" w:hanging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Приложение 1. Метод анализа ТКП − в настоящем файле.</w:t>
      </w:r>
      <w:bookmarkStart w:id="3" w:name="_GoBack"/>
      <w:bookmarkEnd w:id="3"/>
    </w:p>
    <w:p>
      <w:pPr>
        <w:pStyle w:val="Normal"/>
        <w:spacing w:lineRule="auto" w:line="276" w:before="0" w:after="120"/>
        <w:contextualSpacing/>
        <w:rPr>
          <w:sz w:val="24"/>
          <w:szCs w:val="24"/>
        </w:rPr>
      </w:pPr>
      <w:r>
        <w:rPr/>
        <mc:AlternateContent>
          <mc:Choice Requires="wps">
            <w:drawing>
              <wp:anchor behindDoc="0" distT="0" distB="0" distL="635" distR="0" simplePos="0" locked="0" layoutInCell="0" allowOverlap="1" relativeHeight="2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1" name="_x0000_tole_rId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2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3175" distL="0" distR="3175" simplePos="0" locked="0" layoutInCell="0" allowOverlap="1" relativeHeight="3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635000" cy="635000"/>
                <wp:effectExtent l="0" t="0" r="0" b="0"/>
                <wp:wrapNone/>
                <wp:docPr id="2" name="_x0000_tole_rId2" hidden="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2" path="m0,0l-2147483645,0l-2147483645,-2147483646l0,-2147483646xe" stroked="f" o:allowincell="f" style="position:absolute;margin-left:0pt;margin-top:0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  <w:object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width:96.75pt;height:62.25pt;mso-wrap-distance-right:0pt;mso-wrap-distance-bottom:6pt" filled="f" o:ole="">
            <v:imagedata r:id="rId3" o:title=""/>
          </v:shape>
          <o:OLEObject Type="Embed" ProgID="Excel.Sheet.12" ShapeID="ole_rId2" DrawAspect="Icon" ObjectID="_267660188" r:id="rId2"/>
        </w:object>
      </w:r>
    </w:p>
    <w:p>
      <w:pPr>
        <w:pStyle w:val="Normal"/>
        <w:spacing w:before="0" w:after="120"/>
        <w:contextualSpacing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before="0" w:after="120"/>
        <w:contextualSpacing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Style w:val="afe"/>
        <w:tblW w:w="10195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3398"/>
        <w:gridCol w:w="3398"/>
        <w:gridCol w:w="3399"/>
      </w:tblGrid>
      <w:tr>
        <w:trPr>
          <w:trHeight w:val="567" w:hRule="exact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Подписи ответственных лиц:</w:t>
            </w:r>
          </w:p>
        </w:tc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>
          <w:trHeight w:val="567" w:hRule="exact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Ф.И.О. должность исполнителя</w:t>
            </w:r>
          </w:p>
        </w:tc>
        <w:tc>
          <w:tcPr>
            <w:tcW w:w="3398" w:type="dxa"/>
            <w:tcBorders>
              <w:top w:val="nil"/>
              <w:left w:val="nil"/>
              <w:right w:val="nil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>
          <w:trHeight w:val="567" w:hRule="exact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Ф.И.О. должность руководителя</w:t>
            </w:r>
          </w:p>
        </w:tc>
        <w:tc>
          <w:tcPr>
            <w:tcW w:w="3398" w:type="dxa"/>
            <w:tcBorders>
              <w:left w:val="nil"/>
              <w:right w:val="nil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kern w:val="0"/>
                <w:sz w:val="24"/>
                <w:szCs w:val="24"/>
                <w:vertAlign w:val="superscript"/>
                <w:lang w:val="ru-RU" w:bidi="ar-SA"/>
              </w:rPr>
              <w:t>(подпись)</w:t>
            </w:r>
          </w:p>
        </w:tc>
      </w:tr>
      <w:tr>
        <w:trPr>
          <w:trHeight w:val="567" w:hRule="exact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398" w:type="dxa"/>
            <w:tcBorders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kern w:val="0"/>
                <w:sz w:val="24"/>
                <w:szCs w:val="24"/>
                <w:vertAlign w:val="superscript"/>
                <w:lang w:val="ru-RU" w:bidi="ar-SA"/>
              </w:rPr>
              <w:t>(подпись)</w:t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/>
      </w:r>
    </w:p>
    <w:sectPr>
      <w:type w:val="nextPage"/>
      <w:pgSz w:w="11906" w:h="16838"/>
      <w:pgMar w:left="1134" w:right="567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3">
    <w:lvl w:ilvl="0">
      <w:start w:val="1"/>
      <w:numFmt w:val="bullet"/>
      <w:lvlText w:val="−"/>
      <w:lvlJc w:val="left"/>
      <w:pPr>
        <w:tabs>
          <w:tab w:val="num" w:pos="0"/>
        </w:tabs>
        <w:ind w:left="418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33e8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Символ сноски"/>
    <w:uiPriority w:val="99"/>
    <w:qFormat/>
    <w:rPr>
      <w:rFonts w:cs="Times New Roman"/>
      <w:vertAlign w:val="superscript"/>
    </w:rPr>
  </w:style>
  <w:style w:type="character" w:styleId="FootnoteReference">
    <w:name w:val="Footnote Reference"/>
    <w:rPr>
      <w:rFonts w:cs="Times New Roman"/>
      <w:vertAlign w:val="superscript"/>
    </w:rPr>
  </w:style>
  <w:style w:type="character" w:styleId="Style10" w:customStyle="1">
    <w:name w:val="Текст сноски Знак"/>
    <w:basedOn w:val="DefaultParagraphFont"/>
    <w:uiPriority w:val="99"/>
    <w:qFormat/>
    <w:rsid w:val="00d33e84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1" w:customStyle="1">
    <w:name w:val="Нижний колонтитул Знак"/>
    <w:basedOn w:val="DefaultParagraphFont"/>
    <w:uiPriority w:val="99"/>
    <w:qFormat/>
    <w:rsid w:val="00d33e84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12" w:customStyle="1">
    <w:name w:val="Абзац списка Знак"/>
    <w:link w:val="ListParagraph"/>
    <w:uiPriority w:val="34"/>
    <w:qFormat/>
    <w:locked/>
    <w:rsid w:val="00d33e84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ConsPlusNormal" w:customStyle="1">
    <w:name w:val="ConsPlusNormal Знак"/>
    <w:link w:val="ConsPlusNormal1"/>
    <w:qFormat/>
    <w:rsid w:val="00d33e84"/>
    <w:rPr>
      <w:rFonts w:ascii="Arial" w:hAnsi="Arial" w:eastAsia="Times New Roman" w:cs="Arial"/>
      <w:sz w:val="20"/>
      <w:szCs w:val="20"/>
      <w:lang w:eastAsia="ru-RU"/>
    </w:rPr>
  </w:style>
  <w:style w:type="character" w:styleId="WW8Num1z1" w:customStyle="1">
    <w:name w:val="WW8Num1z1"/>
    <w:qFormat/>
    <w:rsid w:val="0046289c"/>
    <w:rPr/>
  </w:style>
  <w:style w:type="character" w:styleId="Style13" w:customStyle="1">
    <w:name w:val="Верхний колонтитул Знак"/>
    <w:basedOn w:val="DefaultParagraphFont"/>
    <w:uiPriority w:val="99"/>
    <w:qFormat/>
    <w:rsid w:val="003b3501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14" w:customStyle="1">
    <w:name w:val="Маркеры"/>
    <w:qFormat/>
    <w:rPr>
      <w:rFonts w:ascii="OpenSymbol" w:hAnsi="OpenSymbol" w:eastAsia="OpenSymbol" w:cs="OpenSymbol"/>
    </w:rPr>
  </w:style>
  <w:style w:type="character" w:styleId="Style15" w:customStyle="1">
    <w:name w:val="Символ нумерации"/>
    <w:qFormat/>
    <w:rPr/>
  </w:style>
  <w:style w:type="character" w:styleId="Style16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bf57e1"/>
    <w:rPr>
      <w:sz w:val="16"/>
      <w:szCs w:val="16"/>
    </w:rPr>
  </w:style>
  <w:style w:type="character" w:styleId="Style17" w:customStyle="1">
    <w:name w:val="Текст примечания Знак"/>
    <w:basedOn w:val="DefaultParagraphFont"/>
    <w:link w:val="Annotationtext"/>
    <w:uiPriority w:val="99"/>
    <w:semiHidden/>
    <w:qFormat/>
    <w:rsid w:val="00bf57e1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8" w:customStyle="1">
    <w:name w:val="Тема примечания Знак"/>
    <w:basedOn w:val="Style17"/>
    <w:link w:val="Annotationsubject"/>
    <w:uiPriority w:val="99"/>
    <w:semiHidden/>
    <w:qFormat/>
    <w:rsid w:val="00bf57e1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9" w:customStyle="1">
    <w:name w:val="Текст выноски Знак"/>
    <w:basedOn w:val="DefaultParagraphFont"/>
    <w:link w:val="BalloonText"/>
    <w:uiPriority w:val="99"/>
    <w:semiHidden/>
    <w:qFormat/>
    <w:rsid w:val="00bf57e1"/>
    <w:rPr>
      <w:rFonts w:ascii="Segoe UI" w:hAnsi="Segoe UI" w:eastAsia="Times New Roman" w:cs="Segoe UI"/>
      <w:sz w:val="18"/>
      <w:szCs w:val="18"/>
      <w:lang w:eastAsia="ru-RU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Lohit Devanagari"/>
    </w:rPr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ListParagraph">
    <w:name w:val="List Paragraph"/>
    <w:basedOn w:val="Normal"/>
    <w:link w:val="Style12"/>
    <w:uiPriority w:val="34"/>
    <w:qFormat/>
    <w:rsid w:val="00d33e84"/>
    <w:pPr>
      <w:ind w:left="708" w:hanging="0"/>
    </w:pPr>
    <w:rPr/>
  </w:style>
  <w:style w:type="paragraph" w:styleId="ConsPlusNormal1" w:customStyle="1">
    <w:name w:val="ConsPlusNormal"/>
    <w:link w:val="ConsPlusNormal"/>
    <w:qFormat/>
    <w:rsid w:val="00d33e84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paragraph" w:styleId="FootnoteText">
    <w:name w:val="Footnote Text"/>
    <w:basedOn w:val="Normal"/>
    <w:link w:val="Style10"/>
    <w:uiPriority w:val="99"/>
    <w:rsid w:val="00d33e84"/>
    <w:pPr/>
    <w:rPr>
      <w:sz w:val="20"/>
      <w:szCs w:val="20"/>
    </w:rPr>
  </w:style>
  <w:style w:type="paragraph" w:styleId="Style22" w:customStyle="1">
    <w:name w:val="Колонтитул"/>
    <w:basedOn w:val="Normal"/>
    <w:qFormat/>
    <w:pPr/>
    <w:rPr/>
  </w:style>
  <w:style w:type="paragraph" w:styleId="Footer">
    <w:name w:val="Footer"/>
    <w:basedOn w:val="Normal"/>
    <w:link w:val="Style11"/>
    <w:uiPriority w:val="99"/>
    <w:rsid w:val="00d33e8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Header">
    <w:name w:val="Header"/>
    <w:basedOn w:val="Normal"/>
    <w:link w:val="Style13"/>
    <w:uiPriority w:val="99"/>
    <w:unhideWhenUsed/>
    <w:rsid w:val="003b350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Annotationtext">
    <w:name w:val="annotation text"/>
    <w:basedOn w:val="Normal"/>
    <w:link w:val="Style17"/>
    <w:uiPriority w:val="99"/>
    <w:semiHidden/>
    <w:unhideWhenUsed/>
    <w:qFormat/>
    <w:rsid w:val="00bf57e1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8"/>
    <w:uiPriority w:val="99"/>
    <w:semiHidden/>
    <w:unhideWhenUsed/>
    <w:qFormat/>
    <w:rsid w:val="00bf57e1"/>
    <w:pPr/>
    <w:rPr>
      <w:b/>
      <w:bCs/>
    </w:rPr>
  </w:style>
  <w:style w:type="paragraph" w:styleId="BalloonText">
    <w:name w:val="Balloon Text"/>
    <w:basedOn w:val="Normal"/>
    <w:link w:val="Style19"/>
    <w:uiPriority w:val="99"/>
    <w:semiHidden/>
    <w:unhideWhenUsed/>
    <w:qFormat/>
    <w:rsid w:val="00bf57e1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numbering" w:styleId="41683679901" w:customStyle="1">
    <w:name w:val="41683679901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e">
    <w:name w:val="Table Grid"/>
    <w:basedOn w:val="a1"/>
    <w:uiPriority w:val="39"/>
    <w:rsid w:val="0013349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wmf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D1DAE-DF9F-4F25-8CC7-1CF4A921B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AlterOffice/3.3.0.4$Linux_X86_64 LibreOffice_project/fa736b558560ebea8f92088bfd7720f4b3918f3f</Application>
  <AppVersion>15.0000</AppVersion>
  <Pages>4</Pages>
  <Words>876</Words>
  <Characters>6004</Characters>
  <CharactersWithSpaces>6805</CharactersWithSpaces>
  <Paragraphs>71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2025-05-14T07:39:00Z</dcterms:created>
  <dc:creator>Чушенков Виктор Васильевич</dc:creator>
  <dc:description/>
  <dc:language>ru-RU</dc:language>
  <cp:lastModifiedBy>baras_av</cp:lastModifiedBy>
  <dcterms:modified xsi:type="dcterms:W3CDTF">2025-07-30T08:40:48Z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